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FF2BF0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0FC5D5B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r>
        <w:rPr>
          <w:i w:val="0"/>
          <w:color w:val="0000FF"/>
          <w:sz w:val="26"/>
          <w:szCs w:val="26"/>
          <w:lang w:val="ru-RU" w:eastAsia="zh-CN"/>
        </w:rPr>
        <w:t>ПЭ-ДО/23-5091</w:t>
      </w:r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1FD29853" w14:textId="15E888C1" w:rsidR="00376F1B" w:rsidRPr="00E31CD4" w:rsidRDefault="00372C73" w:rsidP="00376F1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color w:val="0000FF"/>
          <w:sz w:val="28"/>
          <w:szCs w:val="28"/>
          <w:lang w:val="ru-RU" w:eastAsia="zh-CN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</w:p>
    <w:p w14:paraId="2DC69C83" w14:textId="1D20FDA0" w:rsidR="00DB6C16" w:rsidRPr="00C274D2" w:rsidRDefault="00376F1B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Российская Федерация, Московская область, городской округ Домодедово, город Домодедово, микрорайон Северный, улица Советская, д. 70, стр. 1, помещение для хранения индивидуального транспорта №12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C9433B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00200190102186</w:t>
            </w:r>
          </w:p>
        </w:tc>
      </w:tr>
      <w:tr w:rsidR="00A248C6" w:rsidRPr="00367C74" w14:paraId="190D9AC3" w14:textId="77777777" w:rsidTr="00C9433B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22.12.2023</w:t>
            </w:r>
          </w:p>
        </w:tc>
      </w:tr>
      <w:tr w:rsidR="00A248C6" w:rsidRPr="00367C74" w14:paraId="2F4C77FF" w14:textId="77777777" w:rsidTr="00C9433B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31.01.2024</w:t>
            </w:r>
          </w:p>
        </w:tc>
      </w:tr>
      <w:tr w:rsidR="00A248C6" w:rsidRPr="00367C74" w14:paraId="34A6FFB3" w14:textId="77777777" w:rsidTr="00C9433B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02.02.2024</w:t>
            </w:r>
          </w:p>
        </w:tc>
      </w:tr>
      <w:tr w:rsidR="00A248C6" w:rsidRPr="00367C74" w14:paraId="5C275C22" w14:textId="77777777" w:rsidTr="00C9433B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Дата</w:t>
            </w:r>
            <w:r w:rsidRPr="00CE4143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02.02.2024</w:t>
            </w:r>
          </w:p>
        </w:tc>
      </w:tr>
      <w:tr w:rsidR="00A248C6" w14:paraId="763CD3B0" w14:textId="77777777" w:rsidTr="00C9433B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2023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2" w:name="_Toc424056338"/>
      <w:bookmarkStart w:id="3" w:name="_Toc22815263"/>
      <w:bookmarkStart w:id="4" w:name="_Toc414876534"/>
      <w:bookmarkStart w:id="5" w:name="_Toc419295273"/>
      <w:bookmarkStart w:id="6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2"/>
      <w:bookmarkEnd w:id="3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7" w:name="_Toc424056339"/>
      <w:bookmarkStart w:id="8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7"/>
      <w:bookmarkEnd w:id="8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Государственное казенное учреждение Московской области "Региональный центр торгов"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143407, Московская область, городской округ Красногорск, город Красногорск, бульвар Строителей, дом 7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rct_torgi@mosreg.ru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2B647C63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 </w:t>
      </w:r>
    </w:p>
    <w:p w14:paraId="4904BB94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>Лот № 1</w:t>
      </w:r>
    </w:p>
    <w:p w14:paraId="559CFFE5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 </w:t>
      </w:r>
    </w:p>
    <w:p w14:paraId="0311D9F3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5EE2E604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Pr="00FF2BF0">
        <w:rPr>
          <w:color w:val="0000FF"/>
          <w:sz w:val="22"/>
          <w:szCs w:val="22"/>
          <w:lang w:val="ru-RU"/>
        </w:rPr>
        <w:t>Нежилое помещение</w:t>
      </w:r>
    </w:p>
    <w:p w14:paraId="419EFDC6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Назначение: </w:t>
      </w:r>
      <w:r w:rsidRPr="00FF2BF0">
        <w:rPr>
          <w:color w:val="0000FF"/>
          <w:sz w:val="22"/>
          <w:szCs w:val="22"/>
          <w:lang w:val="ru-RU"/>
        </w:rPr>
        <w:t>Нежилое помещение</w:t>
      </w:r>
    </w:p>
    <w:p w14:paraId="0B7A6901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FF2BF0"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город Домодедово, микрорайон Северный, улица Советская, д. 70, стр. 1, помещение для хранения индивидуального транспорта №12</w:t>
      </w:r>
    </w:p>
    <w:p w14:paraId="721AF732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FF2BF0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0F8A1CF9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FF2BF0">
        <w:rPr>
          <w:color w:val="0000FF"/>
          <w:sz w:val="22"/>
          <w:szCs w:val="22"/>
          <w:lang w:val="ru-RU"/>
        </w:rPr>
        <w:t>50:28:0010244:25 (выписка из Единого государственного реестра недвижимости) (прилагается)</w:t>
      </w:r>
    </w:p>
    <w:p w14:paraId="40862DD6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FF2BF0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7699391D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FF2BF0">
        <w:rPr>
          <w:color w:val="0000FF"/>
          <w:sz w:val="22"/>
          <w:szCs w:val="22"/>
          <w:lang w:val="ru-RU"/>
        </w:rPr>
        <w:t>16,00</w:t>
      </w:r>
    </w:p>
    <w:p w14:paraId="6F310D96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Этажность (этаж): </w:t>
      </w:r>
      <w:r w:rsidRPr="00FF2BF0">
        <w:rPr>
          <w:color w:val="0000FF"/>
          <w:sz w:val="22"/>
          <w:szCs w:val="22"/>
          <w:lang w:val="ru-RU"/>
        </w:rPr>
        <w:t>Этаж № 1</w:t>
      </w:r>
    </w:p>
    <w:p w14:paraId="47E31DAA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FF2BF0">
        <w:rPr>
          <w:color w:val="0000FF"/>
          <w:sz w:val="22"/>
          <w:szCs w:val="22"/>
          <w:lang w:val="ru-RU"/>
        </w:rPr>
        <w:t xml:space="preserve">(прилагаются) </w:t>
      </w:r>
    </w:p>
    <w:p w14:paraId="6B55D1A5" w14:textId="5017D047" w:rsidR="003E1B9A" w:rsidRPr="00FF2BF0" w:rsidRDefault="003E1B9A">
      <w:pPr>
        <w:jc w:val="both"/>
        <w:rPr>
          <w:lang w:val="ru-RU"/>
        </w:rPr>
      </w:pPr>
    </w:p>
    <w:p w14:paraId="56589C5A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 w:rsidRPr="00FF2BF0">
        <w:rPr>
          <w:b/>
          <w:color w:val="0000FF"/>
          <w:sz w:val="22"/>
          <w:szCs w:val="22"/>
          <w:lang w:val="ru-RU"/>
        </w:rPr>
        <w:t>219</w:t>
      </w:r>
      <w:r>
        <w:rPr>
          <w:b/>
          <w:color w:val="0000FF"/>
          <w:sz w:val="22"/>
          <w:szCs w:val="22"/>
        </w:rPr>
        <w:t> </w:t>
      </w:r>
      <w:r w:rsidRPr="00FF2BF0">
        <w:rPr>
          <w:b/>
          <w:color w:val="0000FF"/>
          <w:sz w:val="22"/>
          <w:szCs w:val="22"/>
          <w:lang w:val="ru-RU"/>
        </w:rPr>
        <w:t>600,00 руб. (Двести девятнадцать тысяч шестьсот руб. 00 коп.)</w:t>
      </w:r>
      <w:r w:rsidRPr="00FF2BF0">
        <w:rPr>
          <w:b/>
          <w:color w:val="000000"/>
          <w:sz w:val="22"/>
          <w:szCs w:val="22"/>
          <w:lang w:val="ru-RU"/>
        </w:rPr>
        <w:t>, без учета НДС</w:t>
      </w:r>
    </w:p>
    <w:p w14:paraId="20731AD0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«Шаг аукциона» </w:t>
      </w:r>
      <w:r w:rsidRPr="00FF2BF0"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 w:rsidRPr="00FF2BF0">
        <w:rPr>
          <w:b/>
          <w:color w:val="0000FF"/>
          <w:sz w:val="22"/>
          <w:szCs w:val="22"/>
          <w:lang w:val="ru-RU"/>
        </w:rPr>
        <w:t>10</w:t>
      </w:r>
      <w:r>
        <w:rPr>
          <w:b/>
          <w:color w:val="0000FF"/>
          <w:sz w:val="22"/>
          <w:szCs w:val="22"/>
        </w:rPr>
        <w:t> </w:t>
      </w:r>
      <w:r w:rsidRPr="00FF2BF0">
        <w:rPr>
          <w:b/>
          <w:color w:val="0000FF"/>
          <w:sz w:val="22"/>
          <w:szCs w:val="22"/>
          <w:lang w:val="ru-RU"/>
        </w:rPr>
        <w:t>980,00 руб. (Десять тысяч девятьсот восемьдесят руб. 00 коп.)</w:t>
      </w:r>
    </w:p>
    <w:p w14:paraId="7AD86989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Размер задатка </w:t>
      </w:r>
      <w:r w:rsidRPr="00FF2BF0">
        <w:rPr>
          <w:color w:val="000000"/>
          <w:sz w:val="22"/>
          <w:szCs w:val="22"/>
          <w:lang w:val="ru-RU"/>
        </w:rPr>
        <w:t xml:space="preserve">для участия в аукционе: </w:t>
      </w:r>
      <w:r w:rsidRPr="00FF2BF0">
        <w:rPr>
          <w:b/>
          <w:color w:val="0000FF"/>
          <w:sz w:val="22"/>
          <w:szCs w:val="22"/>
          <w:lang w:val="ru-RU"/>
        </w:rPr>
        <w:t>21</w:t>
      </w:r>
      <w:r>
        <w:rPr>
          <w:b/>
          <w:color w:val="0000FF"/>
          <w:sz w:val="22"/>
          <w:szCs w:val="22"/>
        </w:rPr>
        <w:t> </w:t>
      </w:r>
      <w:r w:rsidRPr="00FF2BF0">
        <w:rPr>
          <w:b/>
          <w:color w:val="0000FF"/>
          <w:sz w:val="22"/>
          <w:szCs w:val="22"/>
          <w:lang w:val="ru-RU"/>
        </w:rPr>
        <w:t>960,00 руб. (Двадцать одна тысяча девятьсот шестьдесят руб. 00 коп.)</w:t>
      </w:r>
      <w:r w:rsidRPr="00FF2BF0">
        <w:rPr>
          <w:color w:val="0000FF"/>
          <w:sz w:val="22"/>
          <w:szCs w:val="22"/>
          <w:lang w:val="ru-RU"/>
        </w:rPr>
        <w:t>, НДС не облагается</w:t>
      </w:r>
    </w:p>
    <w:p w14:paraId="5B55B404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c</w:t>
      </w:r>
      <w:r w:rsidRPr="00FF2BF0">
        <w:rPr>
          <w:b/>
          <w:color w:val="0000FF"/>
          <w:sz w:val="22"/>
          <w:szCs w:val="22"/>
          <w:lang w:val="ru-RU"/>
        </w:rPr>
        <w:t xml:space="preserve"> 22.12.2023 по 31.01.2024 18:00</w:t>
      </w:r>
    </w:p>
    <w:p w14:paraId="26749282" w14:textId="2A32BBB1" w:rsidR="00FF2BF0" w:rsidRPr="00C274D2" w:rsidRDefault="00FF2BF0" w:rsidP="00FF2BF0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  <w:r>
        <w:rPr>
          <w:b/>
          <w:color w:val="000000"/>
          <w:sz w:val="22"/>
          <w:szCs w:val="22"/>
          <w:lang w:val="ru-RU"/>
        </w:rPr>
        <w:t>-</w:t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аукцион по продаже имущества, извещение 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627E96">
          <w:rPr>
            <w:rStyle w:val="a3"/>
            <w:rFonts w:eastAsiaTheme="minorHAnsi"/>
            <w:sz w:val="22"/>
            <w:szCs w:val="22"/>
            <w:u w:val="none"/>
            <w:lang w:val="ru-RU"/>
          </w:rPr>
          <w:t>www.torgi.gov.ru/new</w:t>
        </w:r>
      </w:hyperlink>
      <w:r>
        <w:rPr>
          <w:rFonts w:eastAsiaTheme="minorHAnsi"/>
          <w:color w:val="0000FF"/>
          <w:sz w:val="22"/>
          <w:szCs w:val="22"/>
          <w:lang w:val="ru-RU"/>
        </w:rPr>
        <w:t xml:space="preserve"> </w:t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№ 21000004710000000625, 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признан несостоявшимся в связи с тем, что на участие в аукционе в электронной форме не было подано 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 w:rsidRPr="00627E96">
        <w:rPr>
          <w:rFonts w:eastAsiaTheme="minorHAnsi"/>
          <w:color w:val="0000FF"/>
          <w:sz w:val="22"/>
          <w:szCs w:val="22"/>
          <w:lang w:val="ru-RU"/>
        </w:rPr>
        <w:t>ни одной Заявки</w:t>
      </w:r>
      <w:r w:rsidRPr="00F03AF0">
        <w:rPr>
          <w:sz w:val="22"/>
          <w:szCs w:val="22"/>
          <w:lang w:val="ru-RU"/>
        </w:rPr>
        <w:t>.</w:t>
      </w:r>
    </w:p>
    <w:p w14:paraId="01E7D20D" w14:textId="3D08B78F" w:rsidR="003E1B9A" w:rsidRPr="00FF2BF0" w:rsidRDefault="00FF2BF0" w:rsidP="00FF2BF0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-</w:t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аукцион по продаже имущества, извещение на официальном сайте Российской Федерации 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627E96">
          <w:rPr>
            <w:rStyle w:val="a3"/>
            <w:rFonts w:eastAsiaTheme="minorHAnsi"/>
            <w:sz w:val="22"/>
            <w:szCs w:val="22"/>
            <w:u w:val="none"/>
            <w:lang w:val="ru-RU"/>
          </w:rPr>
          <w:t>www.torgi.gov.ru/new</w:t>
        </w:r>
      </w:hyperlink>
      <w:r>
        <w:rPr>
          <w:rFonts w:eastAsiaTheme="minorHAnsi"/>
          <w:color w:val="0000FF"/>
          <w:sz w:val="22"/>
          <w:szCs w:val="22"/>
          <w:lang w:val="ru-RU"/>
        </w:rPr>
        <w:t xml:space="preserve"> </w:t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№ </w:t>
      </w:r>
      <w:r w:rsidRPr="00FF2BF0">
        <w:rPr>
          <w:rFonts w:eastAsiaTheme="minorHAnsi"/>
          <w:color w:val="0000FF"/>
          <w:sz w:val="22"/>
          <w:szCs w:val="22"/>
          <w:lang w:val="ru-RU"/>
        </w:rPr>
        <w:t>21000004710000003453</w:t>
      </w:r>
      <w:r w:rsidRPr="00627E96">
        <w:rPr>
          <w:rFonts w:eastAsiaTheme="minorHAnsi"/>
          <w:color w:val="0000FF"/>
          <w:sz w:val="22"/>
          <w:szCs w:val="22"/>
          <w:lang w:val="ru-RU"/>
        </w:rPr>
        <w:t xml:space="preserve">, признан несостоявшимся в связи с тем, что на участие 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 w:rsidRPr="00627E96">
        <w:rPr>
          <w:rFonts w:eastAsiaTheme="minorHAnsi"/>
          <w:color w:val="0000FF"/>
          <w:sz w:val="22"/>
          <w:szCs w:val="22"/>
          <w:lang w:val="ru-RU"/>
        </w:rPr>
        <w:t>в аукционе в электронной форме не было подано ни одной Заявки</w:t>
      </w:r>
      <w:r w:rsidRPr="00F03AF0">
        <w:rPr>
          <w:sz w:val="22"/>
          <w:szCs w:val="22"/>
          <w:lang w:val="ru-RU"/>
        </w:rPr>
        <w:t>.</w:t>
      </w:r>
    </w:p>
    <w:p w14:paraId="3571F2F9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 w:rsidRPr="00FF2BF0"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6F83016A" w14:textId="77777777" w:rsidR="003E1B9A" w:rsidRPr="00FF2BF0" w:rsidRDefault="00FF2BF0">
      <w:pPr>
        <w:jc w:val="both"/>
        <w:rPr>
          <w:lang w:val="ru-RU"/>
        </w:rPr>
      </w:pPr>
      <w:r w:rsidRPr="00FF2BF0"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 w:rsidRPr="00FF2BF0"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4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9" w:name="_Toc22815265"/>
      <w:bookmarkEnd w:id="5"/>
      <w:bookmarkEnd w:id="6"/>
      <w:r>
        <w:t>3. </w:t>
      </w:r>
      <w:r w:rsidR="007B70D8" w:rsidRPr="00C274D2">
        <w:t>Место, сроки подачи/приема Заявок и проведения аукциона</w:t>
      </w:r>
      <w:bookmarkEnd w:id="9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OLE_LINK9"/>
      <w:bookmarkStart w:id="15" w:name="OLE_LINK7"/>
      <w:bookmarkStart w:id="16" w:name="OLE_LINK4"/>
      <w:bookmarkEnd w:id="10"/>
      <w:bookmarkEnd w:id="11"/>
      <w:bookmarkEnd w:id="12"/>
      <w:bookmarkEnd w:id="13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22.12.2023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31.01.2024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02.02.2024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4"/>
      <w:bookmarkEnd w:id="15"/>
      <w:bookmarkEnd w:id="16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02.02.2024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38C47ECB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02.02.2024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7" w:name="_Toc22815266"/>
      <w:r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7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8" w:name="_Toc446667800"/>
      <w:bookmarkStart w:id="19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5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lastRenderedPageBreak/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8"/>
      <w:bookmarkEnd w:id="19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0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6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0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1" w:name="_Toc446667802"/>
      <w:bookmarkStart w:id="22" w:name="_Toc22815269"/>
      <w:r w:rsidRPr="00D0436F"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3" w:name="_Toc419295277"/>
      <w:bookmarkEnd w:id="21"/>
      <w:bookmarkEnd w:id="22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lastRenderedPageBreak/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3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lastRenderedPageBreak/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4" w:name="_Toc22815271"/>
      <w:bookmarkStart w:id="25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4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6" w:name="_Toc446667805"/>
      <w:bookmarkStart w:id="27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5"/>
      <w:bookmarkEnd w:id="26"/>
      <w:bookmarkEnd w:id="27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8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29" w:name="_Toc446667806"/>
      <w:bookmarkStart w:id="30" w:name="_Toc22815273"/>
      <w:r w:rsidRPr="0067692C"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8"/>
      <w:bookmarkEnd w:id="29"/>
      <w:bookmarkEnd w:id="30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1" w:name="_Toc446667807"/>
      <w:bookmarkStart w:id="32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1"/>
      <w:bookmarkEnd w:id="32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>не позднее следующего рабочего дня с даты оформления данного решения Протоколом о признании 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3" w:name="_Toc446667808"/>
      <w:bookmarkStart w:id="34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3"/>
      <w:bookmarkEnd w:id="34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lastRenderedPageBreak/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lastRenderedPageBreak/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5" w:name="_Toc446667810"/>
      <w:bookmarkStart w:id="36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5"/>
      <w:bookmarkEnd w:id="36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C788EE2" w14:textId="2896A020" w:rsidR="002C2227" w:rsidRPr="009069F6" w:rsidRDefault="00FF2BF0" w:rsidP="00FF2BF0">
      <w:pPr>
        <w:keepNext/>
        <w:suppressAutoHyphens/>
        <w:spacing w:before="240" w:after="60"/>
        <w:outlineLvl w:val="0"/>
        <w:rPr>
          <w:bCs/>
          <w:sz w:val="28"/>
          <w:szCs w:val="28"/>
          <w:lang w:val="ru-RU"/>
        </w:rPr>
      </w:pPr>
      <w:bookmarkStart w:id="37" w:name="_Toc369097183"/>
      <w:bookmarkStart w:id="38" w:name="_Toc369544163"/>
      <w:r>
        <w:rPr>
          <w:bCs/>
          <w:sz w:val="28"/>
          <w:szCs w:val="28"/>
          <w:lang w:val="ru-RU"/>
        </w:rPr>
        <w:t xml:space="preserve"> </w:t>
      </w:r>
      <w:r w:rsidR="00A4001A">
        <w:rPr>
          <w:bCs/>
          <w:sz w:val="28"/>
          <w:szCs w:val="28"/>
          <w:lang w:val="ru-RU"/>
        </w:rPr>
        <w:br w:type="page"/>
      </w:r>
      <w:bookmarkStart w:id="39" w:name="_Toc423082997"/>
      <w:bookmarkStart w:id="40" w:name="_Toc41729693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41" w:name="_Toc470009565"/>
      <w:bookmarkStart w:id="42" w:name="_Toc446667816"/>
      <w:bookmarkEnd w:id="39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3" w:name="OLE_LINK6"/>
      <w:bookmarkStart w:id="44" w:name="OLE_LINK5"/>
    </w:p>
    <w:bookmarkEnd w:id="43"/>
    <w:bookmarkEnd w:id="44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054FB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FF2BF0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Заявителя: серия……………………№ ………………………………., дата выдачи «…....» </w:t>
            </w:r>
            <w:r w:rsidRPr="00FF2BF0">
              <w:rPr>
                <w:sz w:val="18"/>
                <w:szCs w:val="18"/>
                <w:lang w:val="ru-RU"/>
              </w:rPr>
              <w:t>………………..…....</w:t>
            </w:r>
          </w:p>
          <w:p w14:paraId="2629C0A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FF2BF0" w:rsidRDefault="0047015A" w:rsidP="00054FB4">
            <w:pPr>
              <w:rPr>
                <w:sz w:val="18"/>
                <w:szCs w:val="18"/>
                <w:lang w:val="ru-RU"/>
              </w:rPr>
            </w:pPr>
            <w:r w:rsidRPr="00FF2BF0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FF2BF0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47015A" w:rsidRPr="0047015A" w14:paraId="5BB7BDAE" w14:textId="77777777" w:rsidTr="00054FB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054FB4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526AE0" w:rsidRDefault="0047015A" w:rsidP="00054FB4">
            <w:pPr>
              <w:rPr>
                <w:sz w:val="18"/>
                <w:szCs w:val="18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46B9C6F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054FB4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указанный(ое)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имущества/Объекта(ов)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5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5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41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FF2BF0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7"/>
      <w:bookmarkEnd w:id="38"/>
      <w:bookmarkEnd w:id="40"/>
      <w:bookmarkEnd w:id="42"/>
    </w:p>
    <w:sectPr w:rsidR="00A649A2" w:rsidRPr="00B32954" w:rsidSect="00071A97">
      <w:footerReference w:type="even" r:id="rId17"/>
      <w:footerReference w:type="default" r:id="rId18"/>
      <w:footerReference w:type="first" r:id="rId19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23EE2" w14:textId="77777777" w:rsidR="00E52312" w:rsidRDefault="00E52312" w:rsidP="00366E84">
      <w:r>
        <w:separator/>
      </w:r>
    </w:p>
  </w:endnote>
  <w:endnote w:type="continuationSeparator" w:id="0">
    <w:p w14:paraId="0649AEA9" w14:textId="77777777" w:rsidR="00E52312" w:rsidRDefault="00E52312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0103A5" w:rsidRDefault="000103A5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0103A5" w:rsidRDefault="000103A5" w:rsidP="00053DF0">
    <w:pPr>
      <w:pStyle w:val="af1"/>
      <w:ind w:right="360"/>
    </w:pPr>
  </w:p>
  <w:p w14:paraId="1D768B00" w14:textId="77777777" w:rsidR="000103A5" w:rsidRDefault="000103A5"/>
  <w:p w14:paraId="67BF32C6" w14:textId="77777777" w:rsidR="000103A5" w:rsidRDefault="00010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0103A5" w:rsidRPr="00BF103E" w:rsidRDefault="000103A5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23" w:rsidRPr="00DD7E2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0103A5" w:rsidRDefault="000103A5">
    <w:pPr>
      <w:pStyle w:val="af1"/>
      <w:jc w:val="right"/>
    </w:pPr>
  </w:p>
  <w:p w14:paraId="3CF45394" w14:textId="77777777" w:rsidR="000103A5" w:rsidRPr="00A70A24" w:rsidRDefault="000103A5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A0E5" w14:textId="77777777" w:rsidR="00E52312" w:rsidRDefault="00E52312" w:rsidP="00366E84">
      <w:r>
        <w:separator/>
      </w:r>
    </w:p>
  </w:footnote>
  <w:footnote w:type="continuationSeparator" w:id="0">
    <w:p w14:paraId="07359041" w14:textId="77777777" w:rsidR="00E52312" w:rsidRDefault="00E52312" w:rsidP="00366E84">
      <w:r>
        <w:continuationSeparator/>
      </w:r>
    </w:p>
  </w:footnote>
  <w:footnote w:id="1">
    <w:p w14:paraId="33BE0A58" w14:textId="77777777" w:rsidR="000103A5" w:rsidRDefault="000103A5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7A2F82" w:rsidRDefault="007A2F82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ED4DD2" w:rsidRPr="007A2F82" w:rsidRDefault="00ED4DD2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47015A" w:rsidRPr="005B6120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47015A" w:rsidRPr="0047015A" w:rsidRDefault="0047015A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47015A" w:rsidRDefault="0047015A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47015A" w:rsidRPr="002D71D8" w:rsidRDefault="0047015A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577817" w:rsidRPr="008F0A87" w:rsidRDefault="00577817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577817" w:rsidRDefault="00577817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84DA9"/>
    <w:rsid w:val="000871A3"/>
    <w:rsid w:val="000906D6"/>
    <w:rsid w:val="000929FE"/>
    <w:rsid w:val="000935C9"/>
    <w:rsid w:val="000A12BE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376E"/>
    <w:rsid w:val="00114448"/>
    <w:rsid w:val="00115E08"/>
    <w:rsid w:val="00120405"/>
    <w:rsid w:val="00123BB6"/>
    <w:rsid w:val="001426CB"/>
    <w:rsid w:val="00144327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B9A"/>
    <w:rsid w:val="003E1D05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74D8"/>
    <w:rsid w:val="00417B96"/>
    <w:rsid w:val="004232BB"/>
    <w:rsid w:val="0042483C"/>
    <w:rsid w:val="00424DA4"/>
    <w:rsid w:val="004364A2"/>
    <w:rsid w:val="004366E9"/>
    <w:rsid w:val="004377A5"/>
    <w:rsid w:val="00441B0E"/>
    <w:rsid w:val="00444C2D"/>
    <w:rsid w:val="0044785E"/>
    <w:rsid w:val="00451086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5319"/>
    <w:rsid w:val="00495CD8"/>
    <w:rsid w:val="00495FD4"/>
    <w:rsid w:val="00497405"/>
    <w:rsid w:val="004A0F9E"/>
    <w:rsid w:val="004A1916"/>
    <w:rsid w:val="004A41AE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490D"/>
    <w:rsid w:val="00A7665F"/>
    <w:rsid w:val="00A90B01"/>
    <w:rsid w:val="00A92164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39F0"/>
    <w:rsid w:val="00C03D8C"/>
    <w:rsid w:val="00C064D8"/>
    <w:rsid w:val="00C073D3"/>
    <w:rsid w:val="00C11720"/>
    <w:rsid w:val="00C16E16"/>
    <w:rsid w:val="00C1759D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D7E23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312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DEE"/>
    <w:rsid w:val="00FA3099"/>
    <w:rsid w:val="00FA419E"/>
    <w:rsid w:val="00FA71A3"/>
    <w:rsid w:val="00FB5689"/>
    <w:rsid w:val="00FB5C90"/>
    <w:rsid w:val="00FB5DE9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2BF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orgi.gov.ru/ne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ts-tender.r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3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0C1F03-872C-4DC3-89D2-834877DE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2023-12-21T08:36:00Z</cp:lastPrinted>
  <dcterms:created xsi:type="dcterms:W3CDTF">2023-12-25T13:58:00Z</dcterms:created>
  <dcterms:modified xsi:type="dcterms:W3CDTF">2023-12-25T13:58:00Z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